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2FACB" w14:textId="77777777" w:rsidR="0001065E" w:rsidRDefault="0001065E">
      <w:pPr>
        <w:pStyle w:val="NoSpacing"/>
      </w:pPr>
    </w:p>
    <w:tbl>
      <w:tblPr>
        <w:tblStyle w:val="TableGrid"/>
        <w:tblW w:w="112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sthead"/>
      </w:tblPr>
      <w:tblGrid>
        <w:gridCol w:w="5375"/>
        <w:gridCol w:w="61"/>
        <w:gridCol w:w="5769"/>
      </w:tblGrid>
      <w:tr w:rsidR="0001065E" w14:paraId="3AA3CA20" w14:textId="77777777" w:rsidTr="00427D5A">
        <w:trPr>
          <w:cantSplit/>
          <w:trHeight w:hRule="exact" w:val="3120"/>
          <w:jc w:val="center"/>
        </w:trPr>
        <w:tc>
          <w:tcPr>
            <w:tcW w:w="53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14:paraId="7EFC1A94" w14:textId="77777777" w:rsidR="0001065E" w:rsidRDefault="008D77D3">
            <w:pPr>
              <w:pStyle w:val="NoSpacing"/>
            </w:pPr>
            <w:r>
              <w:drawing>
                <wp:inline distT="0" distB="0" distL="0" distR="0" wp14:anchorId="4735004C" wp14:editId="575950A1">
                  <wp:extent cx="4052498" cy="2028825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7307" cy="20562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14:paraId="2894A1FE" w14:textId="77777777" w:rsidR="0001065E" w:rsidRDefault="0001065E">
            <w:pPr>
              <w:pStyle w:val="NoSpacing"/>
            </w:pPr>
          </w:p>
        </w:tc>
        <w:tc>
          <w:tcPr>
            <w:tcW w:w="57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684D0" w:themeFill="accent5"/>
          </w:tcPr>
          <w:p w14:paraId="69175B6C" w14:textId="77777777" w:rsidR="00893314" w:rsidRPr="00893314" w:rsidRDefault="00893314">
            <w:pPr>
              <w:rPr>
                <w:sz w:val="16"/>
                <w:szCs w:val="16"/>
              </w:rPr>
            </w:pPr>
          </w:p>
          <w:tbl>
            <w:tblPr>
              <w:tblW w:w="4872" w:type="pct"/>
              <w:tblLayout w:type="fixed"/>
              <w:tblLook w:val="04A0" w:firstRow="1" w:lastRow="0" w:firstColumn="1" w:lastColumn="0" w:noHBand="0" w:noVBand="1"/>
            </w:tblPr>
            <w:tblGrid>
              <w:gridCol w:w="5612"/>
            </w:tblGrid>
            <w:tr w:rsidR="0001065E" w14:paraId="2C24F174" w14:textId="77777777" w:rsidTr="00427D5A">
              <w:trPr>
                <w:trHeight w:val="1864"/>
              </w:trPr>
              <w:tc>
                <w:tcPr>
                  <w:tcW w:w="5000" w:type="pct"/>
                </w:tcPr>
                <w:p w14:paraId="401B2962" w14:textId="7CCAEE75" w:rsidR="006153BF" w:rsidRPr="00B559EB" w:rsidRDefault="00DC0B42" w:rsidP="004A329F">
                  <w:pPr>
                    <w:pStyle w:val="Subtitle"/>
                    <w:spacing w:after="0"/>
                    <w:jc w:val="center"/>
                    <w:rPr>
                      <w:rFonts w:ascii="Arial" w:hAnsi="Arial" w:cs="Arial"/>
                      <w:b/>
                      <w:color w:val="auto"/>
                      <w:sz w:val="56"/>
                      <w:szCs w:val="56"/>
                    </w:rPr>
                  </w:pPr>
                  <w:r w:rsidRPr="00B559EB">
                    <w:rPr>
                      <w:rFonts w:ascii="Arial" w:hAnsi="Arial" w:cs="Arial"/>
                      <w:b/>
                      <w:color w:val="auto"/>
                      <w:sz w:val="56"/>
                      <w:szCs w:val="56"/>
                    </w:rPr>
                    <w:t xml:space="preserve">Middlesex County </w:t>
                  </w:r>
                  <w:r w:rsidR="002570D5">
                    <w:rPr>
                      <w:rFonts w:ascii="Arial" w:hAnsi="Arial" w:cs="Arial"/>
                      <w:b/>
                      <w:color w:val="auto"/>
                      <w:sz w:val="56"/>
                      <w:szCs w:val="56"/>
                    </w:rPr>
                    <w:t>Magnet</w:t>
                  </w:r>
                  <w:r w:rsidRPr="00B559EB">
                    <w:rPr>
                      <w:rFonts w:ascii="Arial" w:hAnsi="Arial" w:cs="Arial"/>
                      <w:b/>
                      <w:color w:val="auto"/>
                      <w:sz w:val="56"/>
                      <w:szCs w:val="56"/>
                    </w:rPr>
                    <w:t xml:space="preserve"> Schools</w:t>
                  </w:r>
                </w:p>
                <w:p w14:paraId="6D0F64B3" w14:textId="77777777" w:rsidR="007B5001" w:rsidRPr="00911550" w:rsidRDefault="007B5001" w:rsidP="004A32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0297078A" w14:textId="77777777" w:rsidR="004A329F" w:rsidRPr="00911550" w:rsidRDefault="004A329F" w:rsidP="004A329F">
                  <w:pPr>
                    <w:spacing w:after="0"/>
                    <w:jc w:val="center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911550">
                    <w:rPr>
                      <w:rFonts w:ascii="Arial" w:hAnsi="Arial" w:cs="Arial"/>
                      <w:sz w:val="36"/>
                      <w:szCs w:val="36"/>
                    </w:rPr>
                    <w:t>Piscataway Campus</w:t>
                  </w:r>
                </w:p>
                <w:p w14:paraId="7708EACF" w14:textId="77777777" w:rsidR="00DC0B42" w:rsidRPr="007E65B5" w:rsidRDefault="00DC0B42" w:rsidP="007B5001">
                  <w:pPr>
                    <w:spacing w:after="0"/>
                    <w:jc w:val="center"/>
                    <w:rPr>
                      <w:sz w:val="36"/>
                      <w:szCs w:val="36"/>
                    </w:rPr>
                  </w:pPr>
                </w:p>
              </w:tc>
            </w:tr>
            <w:tr w:rsidR="0001065E" w14:paraId="2B158DF3" w14:textId="77777777" w:rsidTr="00427D5A">
              <w:trPr>
                <w:trHeight w:val="1552"/>
              </w:trPr>
              <w:tc>
                <w:tcPr>
                  <w:tcW w:w="5000" w:type="pct"/>
                  <w:shd w:val="clear" w:color="auto" w:fill="4684D0" w:themeFill="accent5"/>
                  <w:vAlign w:val="bottom"/>
                </w:tcPr>
                <w:p w14:paraId="204FA910" w14:textId="77777777" w:rsidR="0001065E" w:rsidRDefault="0001716D" w:rsidP="00E25A5E">
                  <w:pPr>
                    <w:pStyle w:val="Subtitle"/>
                  </w:pPr>
                  <w:r w:rsidRPr="0001716D">
                    <w:rPr>
                      <w:rFonts w:ascii="Arial" w:hAnsi="Arial" w:cs="Arial"/>
                      <w:sz w:val="22"/>
                      <w:szCs w:val="22"/>
                    </w:rPr>
                    <w:t>www.mcvts.net</w:t>
                  </w:r>
                </w:p>
              </w:tc>
            </w:tr>
          </w:tbl>
          <w:p w14:paraId="74F37386" w14:textId="77777777" w:rsidR="0001065E" w:rsidRDefault="0001065E">
            <w:pPr>
              <w:pStyle w:val="Subtitle"/>
            </w:pPr>
          </w:p>
        </w:tc>
      </w:tr>
      <w:tr w:rsidR="0001065E" w14:paraId="6E83FE28" w14:textId="77777777" w:rsidTr="00427D5A">
        <w:trPr>
          <w:cantSplit/>
          <w:trHeight w:hRule="exact" w:val="69"/>
          <w:jc w:val="center"/>
        </w:trPr>
        <w:tc>
          <w:tcPr>
            <w:tcW w:w="5375" w:type="dxa"/>
            <w:tcBorders>
              <w:top w:val="single" w:sz="4" w:space="0" w:color="FFFFFF" w:themeColor="background1"/>
            </w:tcBorders>
          </w:tcPr>
          <w:p w14:paraId="388DFD93" w14:textId="77777777" w:rsidR="0001065E" w:rsidRDefault="0001065E">
            <w:pPr>
              <w:pStyle w:val="NoSpacing"/>
            </w:pPr>
          </w:p>
        </w:tc>
        <w:tc>
          <w:tcPr>
            <w:tcW w:w="61" w:type="dxa"/>
          </w:tcPr>
          <w:p w14:paraId="3A45C2F9" w14:textId="77777777" w:rsidR="0001065E" w:rsidRDefault="0001065E">
            <w:pPr>
              <w:pStyle w:val="NoSpacing"/>
            </w:pPr>
          </w:p>
        </w:tc>
        <w:tc>
          <w:tcPr>
            <w:tcW w:w="5769" w:type="dxa"/>
            <w:tcBorders>
              <w:top w:val="single" w:sz="4" w:space="0" w:color="FFFFFF" w:themeColor="background1"/>
            </w:tcBorders>
            <w:shd w:val="clear" w:color="auto" w:fill="4684D0" w:themeFill="accent5"/>
          </w:tcPr>
          <w:p w14:paraId="2155AABE" w14:textId="77777777" w:rsidR="0001065E" w:rsidRPr="0001716D" w:rsidRDefault="0001065E">
            <w:pPr>
              <w:pStyle w:val="NoSpacing"/>
              <w:rPr>
                <w:rFonts w:ascii="Arial" w:hAnsi="Arial" w:cs="Arial"/>
                <w:sz w:val="22"/>
              </w:rPr>
            </w:pPr>
          </w:p>
        </w:tc>
      </w:tr>
    </w:tbl>
    <w:p w14:paraId="58BA3B24" w14:textId="77777777" w:rsidR="0001065E" w:rsidRPr="001C1CFC" w:rsidRDefault="00C27E36">
      <w:pPr>
        <w:rPr>
          <w:sz w:val="22"/>
        </w:rPr>
        <w:sectPr w:rsidR="0001065E" w:rsidRPr="001C1CFC">
          <w:headerReference w:type="default" r:id="rId10"/>
          <w:headerReference w:type="first" r:id="rId11"/>
          <w:pgSz w:w="12240" w:h="15840" w:code="1"/>
          <w:pgMar w:top="720" w:right="576" w:bottom="720" w:left="576" w:header="360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18771558" wp14:editId="2B7A972E">
                <wp:simplePos x="0" y="0"/>
                <wp:positionH relativeFrom="margin">
                  <wp:align>left</wp:align>
                </wp:positionH>
                <wp:positionV relativeFrom="page">
                  <wp:posOffset>2656840</wp:posOffset>
                </wp:positionV>
                <wp:extent cx="6991350" cy="43815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44C56" w14:textId="77777777" w:rsidR="0001065E" w:rsidRPr="00CA42C3" w:rsidRDefault="00EA26E8" w:rsidP="00AC72B7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2A61A5" w:themeColor="accent5" w:themeShade="BF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A42C3">
                              <w:rPr>
                                <w:rFonts w:ascii="Arial" w:hAnsi="Arial" w:cs="Arial"/>
                                <w:b/>
                                <w:i/>
                                <w:color w:val="2A61A5" w:themeColor="accent5" w:themeShade="BF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Finance and Banking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DB203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209.2pt;width:550.5pt;height:34.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" o:allowincell="f" filled="f" stroked="f" strokeweight=".5pt">
                <v:textbox inset="0,0,0,0">
                  <w:txbxContent>
                    <w:p w:rsidR="0001065E" w:rsidRPr="00CA42C3" w:rsidRDefault="00EA26E8" w:rsidP="00AC72B7">
                      <w:pPr>
                        <w:pStyle w:val="Heading1"/>
                        <w:spacing w:before="0"/>
                        <w:jc w:val="center"/>
                        <w:rPr>
                          <w:rFonts w:ascii="Arial" w:hAnsi="Arial" w:cs="Arial"/>
                          <w:b/>
                          <w:i/>
                          <w:color w:val="2A61A5" w:themeColor="accent5" w:themeShade="BF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A42C3">
                        <w:rPr>
                          <w:rFonts w:ascii="Arial" w:hAnsi="Arial" w:cs="Arial"/>
                          <w:b/>
                          <w:i/>
                          <w:color w:val="2A61A5" w:themeColor="accent5" w:themeShade="BF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Finance and Banking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7B7BC298" w14:textId="45A46618" w:rsidR="008D7D49" w:rsidRDefault="002570D5" w:rsidP="00DF5A5D">
      <w:pPr>
        <w:spacing w:after="0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In the fall of 2021, MCM</w:t>
      </w:r>
      <w:r w:rsidR="00C27E36">
        <w:rPr>
          <w:rFonts w:ascii="Arial" w:hAnsi="Arial" w:cs="Arial"/>
          <w:color w:val="000000"/>
          <w:sz w:val="22"/>
          <w:shd w:val="clear" w:color="auto" w:fill="FFFFFF"/>
        </w:rPr>
        <w:t xml:space="preserve">S </w:t>
      </w:r>
      <w:r w:rsidR="00B559EB">
        <w:rPr>
          <w:rFonts w:ascii="Arial" w:hAnsi="Arial" w:cs="Arial"/>
          <w:color w:val="000000"/>
          <w:sz w:val="22"/>
          <w:shd w:val="clear" w:color="auto" w:fill="FFFFFF"/>
        </w:rPr>
        <w:t>began</w:t>
      </w:r>
      <w:r w:rsidR="00C27E36">
        <w:rPr>
          <w:rFonts w:ascii="Arial" w:hAnsi="Arial" w:cs="Arial"/>
          <w:color w:val="000000"/>
          <w:sz w:val="22"/>
          <w:shd w:val="clear" w:color="auto" w:fill="FFFFFF"/>
        </w:rPr>
        <w:t xml:space="preserve"> a new program in </w:t>
      </w:r>
      <w:r w:rsidR="00920DED">
        <w:rPr>
          <w:rFonts w:ascii="Arial" w:hAnsi="Arial" w:cs="Arial"/>
          <w:color w:val="000000"/>
          <w:sz w:val="22"/>
          <w:shd w:val="clear" w:color="auto" w:fill="FFFFFF"/>
        </w:rPr>
        <w:t>Finance and Banking</w:t>
      </w:r>
      <w:r w:rsidR="00C27E36">
        <w:rPr>
          <w:rFonts w:ascii="Arial" w:hAnsi="Arial" w:cs="Arial"/>
          <w:color w:val="000000"/>
          <w:sz w:val="22"/>
          <w:shd w:val="clear" w:color="auto" w:fill="FFFFFF"/>
        </w:rPr>
        <w:t xml:space="preserve"> on our Piscataway campus. The program</w:t>
      </w:r>
      <w:r w:rsidR="00920DED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091ADF" w:rsidRPr="004C7550">
        <w:rPr>
          <w:rFonts w:ascii="Arial" w:hAnsi="Arial" w:cs="Arial"/>
          <w:color w:val="000000"/>
          <w:sz w:val="22"/>
          <w:shd w:val="clear" w:color="auto" w:fill="FFFFFF"/>
        </w:rPr>
        <w:t>will prepare students for a variety of careers in financial services including investment, personal and commercial banking, brokerage, trading, insurance and investment management. The program</w:t>
      </w:r>
      <w:r w:rsidR="00920DED">
        <w:rPr>
          <w:rFonts w:ascii="Arial" w:hAnsi="Arial" w:cs="Arial"/>
          <w:color w:val="000000"/>
          <w:sz w:val="22"/>
          <w:shd w:val="clear" w:color="auto" w:fill="FFFFFF"/>
        </w:rPr>
        <w:t xml:space="preserve"> will </w:t>
      </w:r>
      <w:r w:rsidR="00091ADF"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consist of a rigorous academic curriculum that engages students to learn sophisticated </w:t>
      </w:r>
      <w:r w:rsidR="00920DED">
        <w:rPr>
          <w:rFonts w:ascii="Arial" w:hAnsi="Arial" w:cs="Arial"/>
          <w:color w:val="000000"/>
          <w:sz w:val="22"/>
          <w:shd w:val="clear" w:color="auto" w:fill="FFFFFF"/>
        </w:rPr>
        <w:t xml:space="preserve">banking and business </w:t>
      </w:r>
      <w:r w:rsidR="00091ADF" w:rsidRPr="004C7550">
        <w:rPr>
          <w:rFonts w:ascii="Arial" w:hAnsi="Arial" w:cs="Arial"/>
          <w:color w:val="000000"/>
          <w:sz w:val="22"/>
          <w:shd w:val="clear" w:color="auto" w:fill="FFFFFF"/>
        </w:rPr>
        <w:t>content. Students focus on how wealth</w:t>
      </w:r>
      <w:r w:rsidR="00920DED">
        <w:rPr>
          <w:rFonts w:ascii="Arial" w:hAnsi="Arial" w:cs="Arial"/>
          <w:color w:val="000000"/>
          <w:sz w:val="22"/>
          <w:shd w:val="clear" w:color="auto" w:fill="FFFFFF"/>
        </w:rPr>
        <w:t xml:space="preserve"> is created</w:t>
      </w:r>
      <w:r w:rsidR="00091ADF"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, how investors evaluate risk and growth potential </w:t>
      </w:r>
      <w:r w:rsidR="00920DED">
        <w:rPr>
          <w:rFonts w:ascii="Arial" w:hAnsi="Arial" w:cs="Arial"/>
          <w:color w:val="000000"/>
          <w:sz w:val="22"/>
          <w:shd w:val="clear" w:color="auto" w:fill="FFFFFF"/>
        </w:rPr>
        <w:t>and</w:t>
      </w:r>
      <w:r w:rsidR="00091ADF"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details of banking.</w:t>
      </w:r>
    </w:p>
    <w:p w14:paraId="55E53E59" w14:textId="77777777" w:rsidR="00920DED" w:rsidRPr="004C7550" w:rsidRDefault="00920DED" w:rsidP="00DF5A5D">
      <w:pPr>
        <w:spacing w:after="0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5695C35B" w14:textId="77777777" w:rsidR="008B752B" w:rsidRPr="004C7550" w:rsidRDefault="008D7D49" w:rsidP="00027D61">
      <w:pPr>
        <w:spacing w:before="120" w:after="0"/>
        <w:ind w:left="144"/>
        <w:rPr>
          <w:rFonts w:ascii="Arial" w:eastAsia="Times New Roman" w:hAnsi="Arial" w:cs="Arial"/>
          <w:color w:val="333333"/>
          <w:sz w:val="22"/>
        </w:rPr>
      </w:pPr>
      <w:r w:rsidRPr="004C7550">
        <w:rPr>
          <w:rFonts w:ascii="Arial" w:eastAsia="Calibri" w:hAnsi="Arial" w:cs="Arial"/>
          <w:noProof/>
          <w:color w:val="auto"/>
          <w:sz w:val="22"/>
        </w:rPr>
        <w:drawing>
          <wp:inline distT="0" distB="0" distL="0" distR="0" wp14:anchorId="19067AC2" wp14:editId="28A01D0D">
            <wp:extent cx="2199932" cy="1647825"/>
            <wp:effectExtent l="0" t="0" r="0" b="0"/>
            <wp:docPr id="9" name="Picture 9" descr="Banking &amp; Finance | lyc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nking &amp; Finance | lyceu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33" cy="16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470E5" w14:textId="77777777" w:rsidR="00DF5A5D" w:rsidRPr="004C7550" w:rsidRDefault="00DF5A5D" w:rsidP="00DF5A5D">
      <w:pPr>
        <w:spacing w:after="0"/>
        <w:rPr>
          <w:rFonts w:ascii="Arial" w:eastAsia="Times New Roman" w:hAnsi="Arial" w:cs="Arial"/>
          <w:bCs/>
          <w:color w:val="222222"/>
          <w:sz w:val="22"/>
          <w:shd w:val="clear" w:color="auto" w:fill="FFFFFF"/>
        </w:rPr>
      </w:pPr>
    </w:p>
    <w:p w14:paraId="701BDE2D" w14:textId="77777777" w:rsidR="004C7550" w:rsidRPr="004C7550" w:rsidRDefault="004C7550" w:rsidP="004C7550">
      <w:pPr>
        <w:rPr>
          <w:rFonts w:ascii="Arial" w:hAnsi="Arial" w:cs="Arial"/>
          <w:sz w:val="22"/>
        </w:rPr>
      </w:pP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The first year of this program </w:t>
      </w:r>
      <w:r w:rsidR="00C824A8">
        <w:rPr>
          <w:rFonts w:ascii="Arial" w:hAnsi="Arial" w:cs="Arial"/>
          <w:color w:val="000000"/>
          <w:sz w:val="22"/>
          <w:shd w:val="clear" w:color="auto" w:fill="FFFFFF"/>
        </w:rPr>
        <w:t xml:space="preserve">is planned to 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>focus on developing introductory-level fin</w:t>
      </w:r>
      <w:r w:rsidR="004A329F">
        <w:rPr>
          <w:rFonts w:ascii="Arial" w:hAnsi="Arial" w:cs="Arial"/>
          <w:color w:val="000000"/>
          <w:sz w:val="22"/>
          <w:shd w:val="clear" w:color="auto" w:fill="FFFFFF"/>
        </w:rPr>
        <w:t xml:space="preserve">ancial accounting fundamentals, 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>record</w:t>
      </w:r>
      <w:r w:rsidR="004A329F">
        <w:rPr>
          <w:rFonts w:ascii="Arial" w:hAnsi="Arial" w:cs="Arial"/>
          <w:color w:val="000000"/>
          <w:sz w:val="22"/>
          <w:shd w:val="clear" w:color="auto" w:fill="FFFFFF"/>
        </w:rPr>
        <w:t>ing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4A329F">
        <w:rPr>
          <w:rFonts w:ascii="Arial" w:hAnsi="Arial" w:cs="Arial"/>
          <w:color w:val="000000"/>
          <w:sz w:val="22"/>
          <w:shd w:val="clear" w:color="auto" w:fill="FFFFFF"/>
        </w:rPr>
        <w:t>economic transactions, summarizing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and present</w:t>
      </w:r>
      <w:r w:rsidR="004A329F">
        <w:rPr>
          <w:rFonts w:ascii="Arial" w:hAnsi="Arial" w:cs="Arial"/>
          <w:color w:val="000000"/>
          <w:sz w:val="22"/>
          <w:shd w:val="clear" w:color="auto" w:fill="FFFFFF"/>
        </w:rPr>
        <w:t>ing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financial statements and</w:t>
      </w:r>
      <w:r w:rsidR="004A329F">
        <w:rPr>
          <w:rFonts w:ascii="Arial" w:hAnsi="Arial" w:cs="Arial"/>
          <w:color w:val="000000"/>
          <w:sz w:val="22"/>
          <w:shd w:val="clear" w:color="auto" w:fill="FFFFFF"/>
        </w:rPr>
        <w:t xml:space="preserve"> analyzing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accounting information. </w:t>
      </w:r>
    </w:p>
    <w:p w14:paraId="78274E25" w14:textId="77777777" w:rsidR="004C7550" w:rsidRPr="004C7550" w:rsidRDefault="004C7550" w:rsidP="004C7550">
      <w:pPr>
        <w:rPr>
          <w:rFonts w:ascii="Arial" w:hAnsi="Arial" w:cs="Arial"/>
          <w:color w:val="000000"/>
          <w:sz w:val="22"/>
          <w:shd w:val="clear" w:color="auto" w:fill="FFFFFF"/>
        </w:rPr>
      </w:pP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The </w:t>
      </w:r>
      <w:r w:rsidR="00C824A8">
        <w:rPr>
          <w:rFonts w:ascii="Arial" w:hAnsi="Arial" w:cs="Arial"/>
          <w:color w:val="000000"/>
          <w:sz w:val="22"/>
          <w:shd w:val="clear" w:color="auto" w:fill="FFFFFF"/>
        </w:rPr>
        <w:t>second year of the planned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program will focus on the theory of national income determination, aggregate production, employment and prices, money and banking, business cycles and monetary and fiscal policy. </w:t>
      </w:r>
    </w:p>
    <w:p w14:paraId="16EDCD91" w14:textId="77777777" w:rsidR="004C7550" w:rsidRPr="004C7550" w:rsidRDefault="004C7550" w:rsidP="004C7550">
      <w:pPr>
        <w:rPr>
          <w:rFonts w:ascii="Arial" w:hAnsi="Arial" w:cs="Arial"/>
          <w:color w:val="000000"/>
          <w:sz w:val="22"/>
          <w:shd w:val="clear" w:color="auto" w:fill="FFFFFF"/>
        </w:rPr>
      </w:pP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The third year of this program </w:t>
      </w:r>
      <w:r w:rsidR="00C824A8">
        <w:rPr>
          <w:rFonts w:ascii="Arial" w:hAnsi="Arial" w:cs="Arial"/>
          <w:color w:val="000000"/>
          <w:sz w:val="22"/>
          <w:shd w:val="clear" w:color="auto" w:fill="FFFFFF"/>
        </w:rPr>
        <w:t>is planned to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focus on the theory of price determination and resource allocation under various market structures. The theory of </w:t>
      </w:r>
      <w:r w:rsidR="00CA42C3">
        <w:rPr>
          <w:rFonts w:ascii="Arial" w:hAnsi="Arial" w:cs="Arial"/>
          <w:color w:val="000000"/>
          <w:sz w:val="22"/>
          <w:shd w:val="clear" w:color="auto" w:fill="FFFFFF"/>
        </w:rPr>
        <w:t xml:space="preserve">supply and 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demand, production, costs, factor and product pricing, income distribution, market failure, implications of government intervention in the market, and comparison of the free enterprise and alternative systems. </w:t>
      </w:r>
    </w:p>
    <w:p w14:paraId="3BF3EB59" w14:textId="77777777" w:rsidR="004A329F" w:rsidRDefault="004C7550" w:rsidP="004C7550">
      <w:pPr>
        <w:spacing w:after="0"/>
        <w:rPr>
          <w:rFonts w:ascii="Arial" w:hAnsi="Arial" w:cs="Arial"/>
          <w:color w:val="000000"/>
          <w:sz w:val="22"/>
          <w:shd w:val="clear" w:color="auto" w:fill="FFFFFF"/>
        </w:rPr>
      </w:pPr>
      <w:r w:rsidRPr="004C7550">
        <w:rPr>
          <w:rFonts w:ascii="Arial" w:hAnsi="Arial" w:cs="Arial"/>
          <w:color w:val="000000"/>
          <w:sz w:val="22"/>
          <w:shd w:val="clear" w:color="auto" w:fill="FFFFFF"/>
        </w:rPr>
        <w:t>The fourth year of this program</w:t>
      </w:r>
      <w:r w:rsidR="00C824A8">
        <w:rPr>
          <w:rFonts w:ascii="Arial" w:hAnsi="Arial" w:cs="Arial"/>
          <w:color w:val="000000"/>
          <w:sz w:val="22"/>
          <w:shd w:val="clear" w:color="auto" w:fill="FFFFFF"/>
        </w:rPr>
        <w:t xml:space="preserve"> is planned to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focus on the main features of financial markets and institutions in the </w:t>
      </w:r>
      <w:r w:rsidR="00C27E36">
        <w:rPr>
          <w:rFonts w:ascii="Arial" w:hAnsi="Arial" w:cs="Arial"/>
          <w:color w:val="000000"/>
          <w:sz w:val="22"/>
          <w:shd w:val="clear" w:color="auto" w:fill="FFFFFF"/>
        </w:rPr>
        <w:t>U.S.</w:t>
      </w:r>
      <w:r w:rsidR="00C824A8">
        <w:rPr>
          <w:rFonts w:ascii="Arial" w:hAnsi="Arial" w:cs="Arial"/>
          <w:color w:val="000000"/>
          <w:sz w:val="22"/>
          <w:shd w:val="clear" w:color="auto" w:fill="FFFFFF"/>
        </w:rPr>
        <w:t xml:space="preserve">, including interest rates, 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rates of return and how they are determined. It </w:t>
      </w:r>
      <w:r w:rsidR="00C27E36">
        <w:rPr>
          <w:rFonts w:ascii="Arial" w:hAnsi="Arial" w:cs="Arial"/>
          <w:color w:val="000000"/>
          <w:sz w:val="22"/>
          <w:shd w:val="clear" w:color="auto" w:fill="FFFFFF"/>
        </w:rPr>
        <w:t>will also cover securities traded on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financial markets including bonds, stocks, and derivatives and </w:t>
      </w:r>
      <w:r w:rsidR="00C27E36">
        <w:rPr>
          <w:rFonts w:ascii="Arial" w:hAnsi="Arial" w:cs="Arial"/>
          <w:color w:val="000000"/>
          <w:sz w:val="22"/>
          <w:shd w:val="clear" w:color="auto" w:fill="FFFFFF"/>
        </w:rPr>
        <w:t>how financial institutions such as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commercial banks work, along with the role of government in regulating financial markets and institutions. Valuation of assets based on the timing and risk</w:t>
      </w:r>
      <w:r w:rsidR="00C27E36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Pr="004C7550">
        <w:rPr>
          <w:rFonts w:ascii="Arial" w:hAnsi="Arial" w:cs="Arial"/>
          <w:color w:val="000000"/>
          <w:sz w:val="22"/>
          <w:shd w:val="clear" w:color="auto" w:fill="FFFFFF"/>
        </w:rPr>
        <w:t>of their cash flows. </w:t>
      </w:r>
    </w:p>
    <w:p w14:paraId="17988D9A" w14:textId="77777777" w:rsidR="00C27E36" w:rsidRDefault="00C27E36" w:rsidP="004C7550">
      <w:pPr>
        <w:spacing w:after="0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527CFF5F" w14:textId="77777777" w:rsidR="00091ADF" w:rsidRDefault="004A329F" w:rsidP="004C7550">
      <w:pPr>
        <w:spacing w:after="0"/>
        <w:rPr>
          <w:rFonts w:ascii="Arial" w:hAnsi="Arial" w:cs="Arial"/>
          <w:color w:val="000000"/>
          <w:sz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S</w:t>
      </w:r>
      <w:r w:rsidR="004C7550"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tudents </w:t>
      </w:r>
      <w:r w:rsidR="00C27E36">
        <w:rPr>
          <w:rFonts w:ascii="Arial" w:hAnsi="Arial" w:cs="Arial"/>
          <w:color w:val="000000"/>
          <w:sz w:val="22"/>
          <w:shd w:val="clear" w:color="auto" w:fill="FFFFFF"/>
        </w:rPr>
        <w:t>will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C824A8">
        <w:rPr>
          <w:rFonts w:ascii="Arial" w:hAnsi="Arial" w:cs="Arial"/>
          <w:color w:val="000000"/>
          <w:sz w:val="22"/>
          <w:shd w:val="clear" w:color="auto" w:fill="FFFFFF"/>
        </w:rPr>
        <w:t>participate in</w:t>
      </w:r>
      <w:r w:rsidR="004C7550"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a required Capstone </w:t>
      </w:r>
      <w:r w:rsidR="00C27E36">
        <w:rPr>
          <w:rFonts w:ascii="Arial" w:hAnsi="Arial" w:cs="Arial"/>
          <w:color w:val="000000"/>
          <w:sz w:val="22"/>
          <w:shd w:val="clear" w:color="auto" w:fill="FFFFFF"/>
        </w:rPr>
        <w:t>project in</w:t>
      </w:r>
      <w:r w:rsidR="004C7550"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hd w:val="clear" w:color="auto" w:fill="FFFFFF"/>
        </w:rPr>
        <w:t>a</w:t>
      </w:r>
      <w:r w:rsidR="004C7550"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c</w:t>
      </w:r>
      <w:r>
        <w:rPr>
          <w:rFonts w:ascii="Arial" w:hAnsi="Arial" w:cs="Arial"/>
          <w:color w:val="000000"/>
          <w:sz w:val="22"/>
          <w:shd w:val="clear" w:color="auto" w:fill="FFFFFF"/>
        </w:rPr>
        <w:t>hosen financial pathway, spend</w:t>
      </w:r>
      <w:r w:rsidR="004C7550"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12-15 days in a local mentorship</w:t>
      </w:r>
      <w:r>
        <w:rPr>
          <w:rFonts w:ascii="Arial" w:hAnsi="Arial" w:cs="Arial"/>
          <w:color w:val="000000"/>
          <w:sz w:val="22"/>
          <w:shd w:val="clear" w:color="auto" w:fill="FFFFFF"/>
        </w:rPr>
        <w:t xml:space="preserve"> and report on their experience. P</w:t>
      </w:r>
      <w:r w:rsidR="004C7550" w:rsidRPr="004C7550">
        <w:rPr>
          <w:rFonts w:ascii="Arial" w:hAnsi="Arial" w:cs="Arial"/>
          <w:color w:val="000000"/>
          <w:sz w:val="22"/>
          <w:shd w:val="clear" w:color="auto" w:fill="FFFFFF"/>
        </w:rPr>
        <w:t>athway</w:t>
      </w:r>
      <w:r>
        <w:rPr>
          <w:rFonts w:ascii="Arial" w:hAnsi="Arial" w:cs="Arial"/>
          <w:color w:val="000000"/>
          <w:sz w:val="22"/>
          <w:shd w:val="clear" w:color="auto" w:fill="FFFFFF"/>
        </w:rPr>
        <w:t>s</w:t>
      </w:r>
      <w:r w:rsidR="004C7550"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hd w:val="clear" w:color="auto" w:fill="FFFFFF"/>
        </w:rPr>
        <w:t>may include</w:t>
      </w:r>
      <w:r w:rsidR="004C7550" w:rsidRPr="004C7550">
        <w:rPr>
          <w:rFonts w:ascii="Arial" w:hAnsi="Arial" w:cs="Arial"/>
          <w:color w:val="000000"/>
          <w:sz w:val="22"/>
          <w:shd w:val="clear" w:color="auto" w:fill="FFFFFF"/>
        </w:rPr>
        <w:t xml:space="preserve"> Securities and Investments, Business Finance, Banking Services, Insurance, Business Information, Human Resources or Operations Management.</w:t>
      </w:r>
    </w:p>
    <w:p w14:paraId="205DC2B8" w14:textId="77777777" w:rsidR="004A329F" w:rsidRDefault="004A329F" w:rsidP="004C7550">
      <w:pPr>
        <w:spacing w:after="0"/>
        <w:rPr>
          <w:rFonts w:ascii="Arial" w:hAnsi="Arial" w:cs="Arial"/>
          <w:color w:val="000000"/>
          <w:sz w:val="22"/>
          <w:shd w:val="clear" w:color="auto" w:fill="FFFFFF"/>
        </w:rPr>
      </w:pPr>
    </w:p>
    <w:p w14:paraId="4803D334" w14:textId="77777777" w:rsidR="008D7D49" w:rsidRPr="004C7550" w:rsidRDefault="008D7D49" w:rsidP="00DF5A5D">
      <w:pPr>
        <w:shd w:val="clear" w:color="auto" w:fill="FFFFFF"/>
        <w:spacing w:after="0"/>
        <w:outlineLvl w:val="1"/>
        <w:rPr>
          <w:rFonts w:ascii="Arial" w:eastAsia="Calibri" w:hAnsi="Arial" w:cs="Arial"/>
          <w:bCs/>
          <w:color w:val="222222"/>
          <w:sz w:val="22"/>
          <w:shd w:val="clear" w:color="auto" w:fill="FFFFFF"/>
        </w:rPr>
      </w:pPr>
      <w:r w:rsidRPr="004C7550">
        <w:rPr>
          <w:noProof/>
          <w:sz w:val="22"/>
        </w:rPr>
        <w:drawing>
          <wp:inline distT="0" distB="0" distL="0" distR="0" wp14:anchorId="21873485" wp14:editId="5AF6A004">
            <wp:extent cx="2131695" cy="1019175"/>
            <wp:effectExtent l="0" t="0" r="1905" b="9525"/>
            <wp:docPr id="4" name="Picture 4" descr="Email Marketing for Financial Services &amp; Banks (Selection &amp; Strategy Guid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ail Marketing for Financial Services &amp; Banks (Selection &amp; Strategy Guide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849" cy="102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CA3ADF" w14:textId="77777777" w:rsidR="008D7D49" w:rsidRPr="004C7550" w:rsidRDefault="008D7D49" w:rsidP="00DF5A5D">
      <w:pPr>
        <w:shd w:val="clear" w:color="auto" w:fill="FFFFFF"/>
        <w:spacing w:after="0"/>
        <w:outlineLvl w:val="1"/>
        <w:rPr>
          <w:rFonts w:ascii="Arial" w:eastAsia="Calibri" w:hAnsi="Arial" w:cs="Arial"/>
          <w:bCs/>
          <w:color w:val="222222"/>
          <w:sz w:val="22"/>
          <w:shd w:val="clear" w:color="auto" w:fill="FFFFFF"/>
        </w:rPr>
      </w:pPr>
    </w:p>
    <w:p w14:paraId="4A4153B4" w14:textId="393C842E" w:rsidR="00310AE3" w:rsidRPr="004A329F" w:rsidRDefault="004A329F" w:rsidP="004A329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program</w:t>
      </w:r>
      <w:r w:rsidRPr="000E501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will</w:t>
      </w:r>
      <w:r w:rsidR="00911550">
        <w:rPr>
          <w:rFonts w:ascii="Arial" w:hAnsi="Arial" w:cs="Arial"/>
          <w:sz w:val="22"/>
        </w:rPr>
        <w:t xml:space="preserve"> be aligned for college</w:t>
      </w:r>
      <w:r w:rsidRPr="000E5017">
        <w:rPr>
          <w:rFonts w:ascii="Arial" w:hAnsi="Arial" w:cs="Arial"/>
          <w:sz w:val="22"/>
        </w:rPr>
        <w:t xml:space="preserve"> credit with NJIT and/or Rutgers </w:t>
      </w:r>
      <w:r w:rsidR="00C27E36">
        <w:rPr>
          <w:rFonts w:ascii="Arial" w:hAnsi="Arial" w:cs="Arial"/>
          <w:sz w:val="22"/>
        </w:rPr>
        <w:t xml:space="preserve">University </w:t>
      </w:r>
      <w:r w:rsidRPr="000E5017">
        <w:rPr>
          <w:rFonts w:ascii="Arial" w:hAnsi="Arial" w:cs="Arial"/>
          <w:sz w:val="22"/>
        </w:rPr>
        <w:t xml:space="preserve">Macroeconomics </w:t>
      </w:r>
      <w:r w:rsidR="002570D5">
        <w:rPr>
          <w:rFonts w:ascii="Arial" w:hAnsi="Arial" w:cs="Arial"/>
          <w:sz w:val="22"/>
        </w:rPr>
        <w:t>and Microeconomics courses. MCM</w:t>
      </w:r>
      <w:r w:rsidRPr="000E5017">
        <w:rPr>
          <w:rFonts w:ascii="Arial" w:hAnsi="Arial" w:cs="Arial"/>
          <w:sz w:val="22"/>
        </w:rPr>
        <w:t>S will continue to seek additional</w:t>
      </w:r>
      <w:r>
        <w:rPr>
          <w:rFonts w:ascii="Arial" w:hAnsi="Arial" w:cs="Arial"/>
          <w:sz w:val="22"/>
        </w:rPr>
        <w:t xml:space="preserve"> </w:t>
      </w:r>
      <w:r w:rsidR="00911550">
        <w:rPr>
          <w:rFonts w:ascii="Arial" w:hAnsi="Arial" w:cs="Arial"/>
          <w:sz w:val="22"/>
        </w:rPr>
        <w:t>articulation</w:t>
      </w:r>
      <w:r w:rsidRPr="000E5017">
        <w:rPr>
          <w:rFonts w:ascii="Arial" w:hAnsi="Arial" w:cs="Arial"/>
          <w:sz w:val="22"/>
        </w:rPr>
        <w:t xml:space="preserve"> credit with NJIT, RU, Middlese</w:t>
      </w:r>
      <w:r w:rsidR="00911550">
        <w:rPr>
          <w:rFonts w:ascii="Arial" w:hAnsi="Arial" w:cs="Arial"/>
          <w:sz w:val="22"/>
        </w:rPr>
        <w:t xml:space="preserve">x College </w:t>
      </w:r>
      <w:r w:rsidR="00C27E36">
        <w:rPr>
          <w:rFonts w:ascii="Arial" w:hAnsi="Arial" w:cs="Arial"/>
          <w:sz w:val="22"/>
        </w:rPr>
        <w:t>courses</w:t>
      </w:r>
      <w:r w:rsidRPr="000E5017">
        <w:rPr>
          <w:rFonts w:ascii="Arial" w:hAnsi="Arial" w:cs="Arial"/>
          <w:sz w:val="22"/>
        </w:rPr>
        <w:t xml:space="preserve">. There may </w:t>
      </w:r>
      <w:r>
        <w:rPr>
          <w:rFonts w:ascii="Arial" w:hAnsi="Arial" w:cs="Arial"/>
          <w:sz w:val="22"/>
        </w:rPr>
        <w:t xml:space="preserve">also </w:t>
      </w:r>
      <w:r w:rsidRPr="000E5017">
        <w:rPr>
          <w:rFonts w:ascii="Arial" w:hAnsi="Arial" w:cs="Arial"/>
          <w:sz w:val="22"/>
        </w:rPr>
        <w:t xml:space="preserve">be a viable option that can be utilized to pay the tuition costs of the postsecondary credits for students in this program. </w:t>
      </w:r>
      <w:r w:rsidR="00C27E36">
        <w:rPr>
          <w:rFonts w:ascii="Arial" w:hAnsi="Arial" w:cs="Arial"/>
          <w:sz w:val="22"/>
        </w:rPr>
        <w:t>S</w:t>
      </w:r>
      <w:r w:rsidRPr="000E5017">
        <w:rPr>
          <w:rFonts w:ascii="Arial" w:hAnsi="Arial" w:cs="Arial"/>
          <w:sz w:val="22"/>
        </w:rPr>
        <w:t xml:space="preserve">tudents </w:t>
      </w:r>
      <w:r w:rsidR="00C27E36">
        <w:rPr>
          <w:rFonts w:ascii="Arial" w:hAnsi="Arial" w:cs="Arial"/>
          <w:sz w:val="22"/>
        </w:rPr>
        <w:t xml:space="preserve">that </w:t>
      </w:r>
      <w:r w:rsidR="00911550">
        <w:rPr>
          <w:rFonts w:ascii="Arial" w:hAnsi="Arial" w:cs="Arial"/>
          <w:sz w:val="22"/>
        </w:rPr>
        <w:t>complet</w:t>
      </w:r>
      <w:r w:rsidR="00C27E36">
        <w:rPr>
          <w:rFonts w:ascii="Arial" w:hAnsi="Arial" w:cs="Arial"/>
          <w:sz w:val="22"/>
        </w:rPr>
        <w:t>e this program may</w:t>
      </w:r>
      <w:r w:rsidRPr="000E5017">
        <w:rPr>
          <w:rFonts w:ascii="Arial" w:hAnsi="Arial" w:cs="Arial"/>
          <w:sz w:val="22"/>
        </w:rPr>
        <w:t xml:space="preserve"> be </w:t>
      </w:r>
      <w:r w:rsidR="00911550">
        <w:rPr>
          <w:rFonts w:ascii="Arial" w:hAnsi="Arial" w:cs="Arial"/>
          <w:sz w:val="22"/>
        </w:rPr>
        <w:t>eligible for 6 - 9</w:t>
      </w:r>
      <w:r w:rsidRPr="000E5017">
        <w:rPr>
          <w:rFonts w:ascii="Arial" w:hAnsi="Arial" w:cs="Arial"/>
          <w:sz w:val="22"/>
        </w:rPr>
        <w:t xml:space="preserve"> </w:t>
      </w:r>
      <w:r w:rsidR="00C27E36">
        <w:rPr>
          <w:rFonts w:ascii="Arial" w:hAnsi="Arial" w:cs="Arial"/>
          <w:sz w:val="22"/>
        </w:rPr>
        <w:t xml:space="preserve">college </w:t>
      </w:r>
      <w:r w:rsidRPr="000E5017">
        <w:rPr>
          <w:rFonts w:ascii="Arial" w:hAnsi="Arial" w:cs="Arial"/>
          <w:sz w:val="22"/>
        </w:rPr>
        <w:t>credits.</w:t>
      </w:r>
      <w:r w:rsidR="00911550">
        <w:rPr>
          <w:rFonts w:ascii="Arial" w:hAnsi="Arial" w:cs="Arial"/>
          <w:sz w:val="22"/>
        </w:rPr>
        <w:t xml:space="preserve"> </w:t>
      </w:r>
      <w:r w:rsidR="00C27E36">
        <w:rPr>
          <w:rFonts w:ascii="Arial" w:hAnsi="Arial" w:cs="Arial"/>
          <w:sz w:val="22"/>
        </w:rPr>
        <w:t>S</w:t>
      </w:r>
      <w:r w:rsidR="00911550">
        <w:rPr>
          <w:rFonts w:ascii="Arial" w:hAnsi="Arial" w:cs="Arial"/>
          <w:sz w:val="22"/>
        </w:rPr>
        <w:t>tudents will also have opportunities for field trips</w:t>
      </w:r>
      <w:r w:rsidR="00C27E36">
        <w:rPr>
          <w:rFonts w:ascii="Arial" w:hAnsi="Arial" w:cs="Arial"/>
          <w:sz w:val="22"/>
        </w:rPr>
        <w:t xml:space="preserve"> to the RU School of Business, which is a</w:t>
      </w:r>
      <w:r w:rsidR="002570D5">
        <w:rPr>
          <w:rFonts w:ascii="Arial" w:hAnsi="Arial" w:cs="Arial"/>
          <w:sz w:val="22"/>
        </w:rPr>
        <w:t>cross the street from our MCM</w:t>
      </w:r>
      <w:r w:rsidR="00911550">
        <w:rPr>
          <w:rFonts w:ascii="Arial" w:hAnsi="Arial" w:cs="Arial"/>
          <w:sz w:val="22"/>
        </w:rPr>
        <w:t>S Piscataway campus.</w:t>
      </w:r>
    </w:p>
    <w:sectPr w:rsidR="00310AE3" w:rsidRPr="004A329F" w:rsidSect="00310AE3">
      <w:type w:val="continuous"/>
      <w:pgSz w:w="12240" w:h="15840" w:code="1"/>
      <w:pgMar w:top="720" w:right="576" w:bottom="720" w:left="576" w:header="360" w:footer="720" w:gutter="0"/>
      <w:cols w:num="3"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AD613" w14:textId="77777777" w:rsidR="008546C9" w:rsidRDefault="008546C9">
      <w:pPr>
        <w:spacing w:after="0"/>
      </w:pPr>
      <w:r>
        <w:separator/>
      </w:r>
    </w:p>
    <w:p w14:paraId="62635AB6" w14:textId="77777777" w:rsidR="008546C9" w:rsidRDefault="008546C9"/>
    <w:p w14:paraId="189BE0B8" w14:textId="77777777" w:rsidR="008546C9" w:rsidRDefault="008546C9"/>
  </w:endnote>
  <w:endnote w:type="continuationSeparator" w:id="0">
    <w:p w14:paraId="7D28C3B2" w14:textId="77777777" w:rsidR="008546C9" w:rsidRDefault="008546C9">
      <w:pPr>
        <w:spacing w:after="0"/>
      </w:pPr>
      <w:r>
        <w:continuationSeparator/>
      </w:r>
    </w:p>
    <w:p w14:paraId="1FE87555" w14:textId="77777777" w:rsidR="008546C9" w:rsidRDefault="008546C9"/>
    <w:p w14:paraId="33EA067C" w14:textId="77777777" w:rsidR="008546C9" w:rsidRDefault="008546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CAF47" w14:textId="77777777" w:rsidR="008546C9" w:rsidRDefault="008546C9">
      <w:pPr>
        <w:spacing w:after="0"/>
      </w:pPr>
      <w:r>
        <w:separator/>
      </w:r>
    </w:p>
    <w:p w14:paraId="7F8D2A7B" w14:textId="77777777" w:rsidR="008546C9" w:rsidRDefault="008546C9"/>
    <w:p w14:paraId="65A39BE7" w14:textId="77777777" w:rsidR="008546C9" w:rsidRDefault="008546C9"/>
  </w:footnote>
  <w:footnote w:type="continuationSeparator" w:id="0">
    <w:p w14:paraId="484E1497" w14:textId="77777777" w:rsidR="008546C9" w:rsidRDefault="008546C9">
      <w:pPr>
        <w:spacing w:after="0"/>
      </w:pPr>
      <w:r>
        <w:continuationSeparator/>
      </w:r>
    </w:p>
    <w:p w14:paraId="7678B926" w14:textId="77777777" w:rsidR="008546C9" w:rsidRDefault="008546C9"/>
    <w:p w14:paraId="1063CDE9" w14:textId="77777777" w:rsidR="008546C9" w:rsidRDefault="008546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8"/>
    </w:tblGrid>
    <w:tr w:rsidR="0001065E" w14:paraId="77DE438B" w14:textId="77777777">
      <w:trPr>
        <w:jc w:val="center"/>
      </w:trPr>
      <w:tc>
        <w:tcPr>
          <w:tcW w:w="5746" w:type="dxa"/>
          <w:shd w:val="clear" w:color="auto" w:fill="auto"/>
        </w:tcPr>
        <w:p w14:paraId="5DCB97DF" w14:textId="77777777" w:rsidR="0001065E" w:rsidRDefault="0001065E" w:rsidP="000846FA">
          <w:pPr>
            <w:pStyle w:val="Header"/>
          </w:pPr>
        </w:p>
      </w:tc>
      <w:tc>
        <w:tcPr>
          <w:tcW w:w="5747" w:type="dxa"/>
          <w:shd w:val="clear" w:color="auto" w:fill="auto"/>
        </w:tcPr>
        <w:p w14:paraId="668E3042" w14:textId="77777777" w:rsidR="0001065E" w:rsidRDefault="00797CD0">
          <w:pPr>
            <w:pStyle w:val="Head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 \* MERGEFORMAT </w:instrText>
          </w:r>
          <w:r>
            <w:rPr>
              <w:rStyle w:val="PageNumber"/>
            </w:rPr>
            <w:fldChar w:fldCharType="separate"/>
          </w:r>
          <w:r w:rsidR="0014222D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24D21718" w14:textId="77777777" w:rsidR="0001065E" w:rsidRDefault="0001065E">
    <w:pPr>
      <w:pStyle w:val="NoSpacing"/>
      <w:ind w:left="-218"/>
    </w:pPr>
  </w:p>
  <w:p w14:paraId="2ACCC744" w14:textId="77777777" w:rsidR="0001065E" w:rsidRDefault="0001065E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91" w:type="dxa"/>
      <w:tblInd w:w="-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"/>
    </w:tblPr>
    <w:tblGrid>
      <w:gridCol w:w="5746"/>
      <w:gridCol w:w="5745"/>
    </w:tblGrid>
    <w:tr w:rsidR="0001065E" w14:paraId="2CD5FE73" w14:textId="77777777">
      <w:trPr>
        <w:cantSplit/>
      </w:trPr>
      <w:tc>
        <w:tcPr>
          <w:tcW w:w="5746" w:type="dxa"/>
          <w:vAlign w:val="bottom"/>
        </w:tcPr>
        <w:p w14:paraId="1DFAC656" w14:textId="77777777" w:rsidR="0001065E" w:rsidRDefault="0001065E">
          <w:pPr>
            <w:pStyle w:val="Header"/>
          </w:pPr>
        </w:p>
      </w:tc>
      <w:tc>
        <w:tcPr>
          <w:tcW w:w="5746" w:type="dxa"/>
          <w:vAlign w:val="bottom"/>
        </w:tcPr>
        <w:p w14:paraId="3897A65D" w14:textId="77777777" w:rsidR="0001065E" w:rsidRDefault="008546C9" w:rsidP="000846FA">
          <w:pPr>
            <w:pStyle w:val="IssueNumber"/>
          </w:pPr>
          <w:sdt>
            <w:sdtPr>
              <w:alias w:val="Issue No"/>
              <w:tag w:val="Issue No"/>
              <w:id w:val="1605460164"/>
              <w:showingPlcHd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5700F7">
                <w:t xml:space="preserve">     </w:t>
              </w:r>
            </w:sdtContent>
          </w:sdt>
          <w:r w:rsidR="00797CD0">
            <w:t xml:space="preserve"> </w:t>
          </w:r>
        </w:p>
      </w:tc>
    </w:tr>
  </w:tbl>
  <w:p w14:paraId="288F5241" w14:textId="77777777" w:rsidR="0001065E" w:rsidRDefault="0001065E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 w:themeColor="accent1"/>
      </w:rPr>
    </w:lvl>
  </w:abstractNum>
  <w:abstractNum w:abstractNumId="3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9F3972"/>
    <w:multiLevelType w:val="hybridMultilevel"/>
    <w:tmpl w:val="32984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98796D"/>
    <w:multiLevelType w:val="hybridMultilevel"/>
    <w:tmpl w:val="4D90F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362C14"/>
    <w:multiLevelType w:val="hybridMultilevel"/>
    <w:tmpl w:val="744628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5E"/>
    <w:rsid w:val="0001065E"/>
    <w:rsid w:val="0001716D"/>
    <w:rsid w:val="00027D61"/>
    <w:rsid w:val="00041B97"/>
    <w:rsid w:val="00071C64"/>
    <w:rsid w:val="000846FA"/>
    <w:rsid w:val="00091ADF"/>
    <w:rsid w:val="000A0731"/>
    <w:rsid w:val="00130077"/>
    <w:rsid w:val="00131188"/>
    <w:rsid w:val="00132BDF"/>
    <w:rsid w:val="0014222D"/>
    <w:rsid w:val="00150D79"/>
    <w:rsid w:val="001908E0"/>
    <w:rsid w:val="0019587C"/>
    <w:rsid w:val="001C1CFC"/>
    <w:rsid w:val="001F0945"/>
    <w:rsid w:val="00242F13"/>
    <w:rsid w:val="002570D5"/>
    <w:rsid w:val="00310AE3"/>
    <w:rsid w:val="00347A41"/>
    <w:rsid w:val="00364F9C"/>
    <w:rsid w:val="003B2030"/>
    <w:rsid w:val="003B6713"/>
    <w:rsid w:val="003C3ECE"/>
    <w:rsid w:val="003E03D2"/>
    <w:rsid w:val="0040138A"/>
    <w:rsid w:val="0040562F"/>
    <w:rsid w:val="00424E07"/>
    <w:rsid w:val="00427D5A"/>
    <w:rsid w:val="004A03C7"/>
    <w:rsid w:val="004A329F"/>
    <w:rsid w:val="004C3B76"/>
    <w:rsid w:val="004C752E"/>
    <w:rsid w:val="004C7550"/>
    <w:rsid w:val="004D30F9"/>
    <w:rsid w:val="004F381E"/>
    <w:rsid w:val="00531550"/>
    <w:rsid w:val="005700F7"/>
    <w:rsid w:val="00592697"/>
    <w:rsid w:val="005B3194"/>
    <w:rsid w:val="005D30E9"/>
    <w:rsid w:val="00600F69"/>
    <w:rsid w:val="006153BF"/>
    <w:rsid w:val="00677243"/>
    <w:rsid w:val="007124A0"/>
    <w:rsid w:val="00733C4A"/>
    <w:rsid w:val="007566B0"/>
    <w:rsid w:val="007858E3"/>
    <w:rsid w:val="00797387"/>
    <w:rsid w:val="00797CD0"/>
    <w:rsid w:val="007B5001"/>
    <w:rsid w:val="007C54B9"/>
    <w:rsid w:val="007E65B5"/>
    <w:rsid w:val="0080566A"/>
    <w:rsid w:val="008472BB"/>
    <w:rsid w:val="008546C9"/>
    <w:rsid w:val="008901E7"/>
    <w:rsid w:val="00893314"/>
    <w:rsid w:val="008B752B"/>
    <w:rsid w:val="008C1A49"/>
    <w:rsid w:val="008D77D3"/>
    <w:rsid w:val="008D7D49"/>
    <w:rsid w:val="008F4983"/>
    <w:rsid w:val="00902042"/>
    <w:rsid w:val="00903810"/>
    <w:rsid w:val="00911550"/>
    <w:rsid w:val="00920DED"/>
    <w:rsid w:val="0093698B"/>
    <w:rsid w:val="009825A3"/>
    <w:rsid w:val="00A37C02"/>
    <w:rsid w:val="00A96EF6"/>
    <w:rsid w:val="00AC72B7"/>
    <w:rsid w:val="00B100F6"/>
    <w:rsid w:val="00B43543"/>
    <w:rsid w:val="00B559EB"/>
    <w:rsid w:val="00B74D19"/>
    <w:rsid w:val="00B82803"/>
    <w:rsid w:val="00B83049"/>
    <w:rsid w:val="00BD4196"/>
    <w:rsid w:val="00BE336D"/>
    <w:rsid w:val="00C2311B"/>
    <w:rsid w:val="00C27E36"/>
    <w:rsid w:val="00C36AB9"/>
    <w:rsid w:val="00C77FF3"/>
    <w:rsid w:val="00C824A8"/>
    <w:rsid w:val="00C85C31"/>
    <w:rsid w:val="00CA23F0"/>
    <w:rsid w:val="00CA42C3"/>
    <w:rsid w:val="00DC0B42"/>
    <w:rsid w:val="00DF5A5D"/>
    <w:rsid w:val="00E25A5E"/>
    <w:rsid w:val="00E25C4B"/>
    <w:rsid w:val="00E756E0"/>
    <w:rsid w:val="00EA26E8"/>
    <w:rsid w:val="00EC0F69"/>
    <w:rsid w:val="00FB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DD7C3"/>
  <w15:docId w15:val="{F0883A8D-BCA8-4E6A-BF05-AD86755C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character" w:styleId="Emphasis">
    <w:name w:val="Emphasis"/>
    <w:basedOn w:val="DefaultParagraphFont"/>
    <w:qFormat/>
    <w:rPr>
      <w:rFonts w:asciiTheme="majorHAnsi" w:hAnsiTheme="majorHAnsi"/>
      <w:i w:val="0"/>
      <w:iCs/>
      <w:color w:val="FF5C0B" w:themeColor="accent1"/>
      <w:sz w:val="1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eNumber">
    <w:name w:val="page number"/>
    <w:basedOn w:val="DefaultParagraphFont"/>
    <w:uiPriority w:val="99"/>
    <w:qFormat/>
    <w:rPr>
      <w:rFonts w:asciiTheme="minorHAnsi" w:hAnsiTheme="minorHAnsi"/>
      <w:color w:val="FF5C0B" w:themeColor="accent1"/>
      <w:sz w:val="20"/>
    </w:rPr>
  </w:style>
  <w:style w:type="paragraph" w:styleId="Header">
    <w:name w:val="header"/>
    <w:basedOn w:val="Normal"/>
    <w:link w:val="HeaderChar"/>
    <w:uiPriority w:val="99"/>
    <w:pPr>
      <w:spacing w:after="60"/>
    </w:pPr>
    <w:rPr>
      <w:caps/>
      <w:color w:val="FF5C0B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FF5C0B" w:themeColor="accent1"/>
      <w:sz w:val="20"/>
    </w:rPr>
  </w:style>
  <w:style w:type="paragraph" w:customStyle="1" w:styleId="Name">
    <w:name w:val="Name"/>
    <w:basedOn w:val="Normal"/>
    <w:qFormat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Pr>
      <w:sz w:val="16"/>
    </w:rPr>
  </w:style>
  <w:style w:type="character" w:customStyle="1" w:styleId="Heading4Char">
    <w:name w:val="Heading 4 Char"/>
    <w:basedOn w:val="DefaultParagraphFont"/>
    <w:link w:val="Heading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Heading5Char">
    <w:name w:val="Heading 5 Char"/>
    <w:basedOn w:val="DefaultParagraphFont"/>
    <w:link w:val="Heading5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pPr>
      <w:ind w:left="-216" w:right="-144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1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pPr>
      <w:spacing w:after="0"/>
    </w:pPr>
    <w:rPr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ssueNumber">
    <w:name w:val="Issue Number"/>
    <w:basedOn w:val="Header"/>
    <w:link w:val="IssueNumberChar"/>
    <w:qFormat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DefaultParagraphFont"/>
    <w:link w:val="IssueNumber"/>
    <w:rPr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color w:val="262626" w:themeColor="text1" w:themeTint="D9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E3791C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BC2700" w:themeColor="hyperlink"/>
      <w:u w:val="single"/>
    </w:rPr>
  </w:style>
  <w:style w:type="paragraph" w:styleId="ListBullet">
    <w:name w:val="List Bullet"/>
    <w:basedOn w:val="Normal"/>
    <w:unhideWhenUsed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pPr>
      <w:spacing w:after="120"/>
      <w:ind w:left="360"/>
    </w:pPr>
  </w:style>
  <w:style w:type="paragraph" w:customStyle="1" w:styleId="PageReference">
    <w:name w:val="Page Reference"/>
    <w:basedOn w:val="Normal"/>
    <w:qFormat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idebarHighlightText">
    <w:name w:val="Sidebar Highlight Text"/>
    <w:basedOn w:val="Normal"/>
    <w:qFormat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nhideWhenUsed/>
    <w:qFormat/>
    <w:rPr>
      <w:b/>
      <w:bCs/>
    </w:rPr>
  </w:style>
  <w:style w:type="paragraph" w:customStyle="1" w:styleId="HeaderSpace">
    <w:name w:val="Header Space"/>
    <w:basedOn w:val="Normal"/>
    <w:qFormat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pPr>
      <w:spacing w:before="120" w:after="0"/>
      <w:ind w:left="-216" w:right="-144"/>
    </w:pPr>
    <w:rPr>
      <w:rFonts w:asciiTheme="majorHAnsi" w:hAnsiTheme="majorHAnsi"/>
      <w:color w:val="FF5C0B" w:themeColor="accent1"/>
      <w:sz w:val="24"/>
      <w:szCs w:val="24"/>
    </w:rPr>
  </w:style>
  <w:style w:type="paragraph" w:customStyle="1" w:styleId="SidebarPhoto0">
    <w:name w:val="Sidebar Photo"/>
    <w:basedOn w:val="Normal"/>
    <w:qFormat/>
    <w:pPr>
      <w:spacing w:after="0"/>
      <w:ind w:left="-317"/>
    </w:pPr>
    <w:rPr>
      <w:noProof/>
      <w:sz w:val="12"/>
    </w:rPr>
  </w:style>
  <w:style w:type="paragraph" w:styleId="ListParagraph">
    <w:name w:val="List Paragraph"/>
    <w:basedOn w:val="Normal"/>
    <w:uiPriority w:val="34"/>
    <w:qFormat/>
    <w:rsid w:val="00E756E0"/>
    <w:pPr>
      <w:spacing w:after="0"/>
      <w:ind w:left="720" w:hanging="288"/>
      <w:contextualSpacing/>
    </w:pPr>
    <w:rPr>
      <w:color w:val="282A2C" w:themeColor="text2" w:themeShade="BF"/>
      <w:sz w:val="19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onalds\AppData\Roaming\Microsoft\Templates\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6393B"/>
      </a:dk2>
      <a:lt2>
        <a:srgbClr val="D3E0E5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BC2700"/>
      </a:hlink>
      <a:folHlink>
        <a:srgbClr val="E3791C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F85F31-541B-4C2F-9D8D-77D7FAC6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1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Advanced</dc:subject>
  <dc:creator>Sean McDonald</dc:creator>
  <cp:lastModifiedBy>Valerie Echolos-Gardner</cp:lastModifiedBy>
  <cp:revision>2</cp:revision>
  <cp:lastPrinted>2022-02-12T01:41:00Z</cp:lastPrinted>
  <dcterms:created xsi:type="dcterms:W3CDTF">2022-10-18T16:53:00Z</dcterms:created>
  <dcterms:modified xsi:type="dcterms:W3CDTF">2022-10-18T16:53:00Z</dcterms:modified>
  <cp:contentStatus>Manufacturing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